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rPr>
          <w:rFonts w:hint="eastAsia" w:ascii="Arial" w:hAnsi="Arial" w:eastAsia="黑体" w:cs="Arial"/>
          <w:color w:val="auto"/>
          <w:kern w:val="0"/>
          <w:sz w:val="20"/>
          <w:szCs w:val="20"/>
          <w:lang w:val="en-US" w:eastAsia="zh-CN"/>
        </w:rPr>
      </w:pPr>
      <w:r>
        <w:rPr>
          <w:rFonts w:ascii="黑体" w:hAnsi="黑体" w:eastAsia="黑体" w:cs="黑体"/>
          <w:color w:val="auto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rPr>
          <w:rFonts w:ascii="Arial" w:hAnsi="Arial" w:eastAsia="Arial" w:cs="Arial"/>
          <w:color w:val="auto"/>
          <w:kern w:val="0"/>
          <w:sz w:val="17"/>
          <w:szCs w:val="1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1"/>
        <w:rPr>
          <w:rFonts w:ascii="方正小标宋简体" w:hAnsi="方正小标宋简体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Times New Roman"/>
          <w:color w:val="auto"/>
          <w:sz w:val="44"/>
          <w:szCs w:val="44"/>
        </w:rPr>
        <w:t>余姚市工业用地投资建设协议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80"/>
        <w:jc w:val="left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51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-10"/>
        </w:rPr>
        <w:t>甲方：</w:t>
      </w:r>
      <w:r>
        <w:rPr>
          <w:rFonts w:hint="eastAsia" w:ascii="仿宋_GB2312" w:hAnsi="仿宋_GB2312" w:eastAsia="仿宋_GB2312" w:cs="仿宋_GB2312"/>
          <w:color w:val="auto"/>
          <w:spacing w:val="-10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pacing w:val="-27"/>
        </w:rPr>
        <w:t>（属地&lt;乡镇、街道、园区&gt;）</w:t>
      </w:r>
    </w:p>
    <w:p>
      <w:pPr>
        <w:keepNext w:val="0"/>
        <w:keepLines w:val="0"/>
        <w:pageBreakBefore w:val="0"/>
        <w:widowControl w:val="0"/>
        <w:tabs>
          <w:tab w:val="left" w:pos="1024"/>
          <w:tab w:val="left" w:pos="52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96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-8"/>
          <w:w w:val="95"/>
        </w:rPr>
        <w:t>乙方：</w:t>
      </w:r>
      <w:r>
        <w:rPr>
          <w:rFonts w:hint="eastAsia" w:ascii="仿宋_GB2312" w:hAnsi="仿宋_GB2312" w:eastAsia="仿宋_GB2312" w:cs="仿宋_GB2312"/>
          <w:color w:val="auto"/>
          <w:spacing w:val="-8"/>
          <w:w w:val="95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pacing w:val="-13"/>
        </w:rPr>
        <w:t>（用地单位）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49" w:firstLine="560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-20"/>
        </w:rPr>
        <w:t>为进一步提高我市工业用地节约集约利用水平，提升存量工业</w:t>
      </w:r>
      <w:r>
        <w:rPr>
          <w:rFonts w:hint="eastAsia" w:ascii="仿宋_GB2312" w:hAnsi="仿宋_GB2312" w:eastAsia="仿宋_GB2312" w:cs="仿宋_GB2312"/>
          <w:color w:val="auto"/>
          <w:spacing w:val="-19"/>
        </w:rPr>
        <w:t>用地综合效益，根据《宁波市国土空间规划条例》和余姚市人民政府《关于进一步促进工业用地节约集约利用的有关意见》等文件精神，</w:t>
      </w:r>
      <w:r>
        <w:rPr>
          <w:rFonts w:hint="eastAsia" w:ascii="仿宋_GB2312" w:hAnsi="仿宋_GB2312" w:eastAsia="仿宋_GB2312" w:cs="仿宋_GB2312"/>
          <w:color w:val="auto"/>
          <w:spacing w:val="-14"/>
        </w:rPr>
        <w:t>本着平等、自愿、诚实信用的原则，制订以下投资协议：</w:t>
      </w:r>
    </w:p>
    <w:p>
      <w:pPr>
        <w:keepNext w:val="0"/>
        <w:keepLines w:val="0"/>
        <w:pageBreakBefore w:val="0"/>
        <w:widowControl w:val="0"/>
        <w:tabs>
          <w:tab w:val="left" w:pos="19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96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eastAsia="en-US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lang w:eastAsia="en-US"/>
        </w:rPr>
        <w:t>第一条</w:t>
      </w:r>
      <w:r>
        <w:rPr>
          <w:rFonts w:hint="eastAsia" w:ascii="仿宋_GB2312" w:hAnsi="仿宋_GB2312" w:eastAsia="仿宋_GB2312" w:cs="仿宋_GB2312"/>
          <w:color w:val="auto"/>
          <w:spacing w:val="-10"/>
          <w:lang w:eastAsia="en-US"/>
        </w:rPr>
        <w:tab/>
      </w:r>
      <w:r>
        <w:rPr>
          <w:rFonts w:hint="eastAsia" w:ascii="仿宋_GB2312" w:hAnsi="仿宋_GB2312" w:eastAsia="仿宋_GB2312" w:cs="仿宋_GB2312"/>
          <w:color w:val="auto"/>
          <w:spacing w:val="-13"/>
          <w:lang w:eastAsia="en-US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3945"/>
          <w:tab w:val="left" w:pos="79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200" w:firstLine="608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eastAsia="en-US"/>
        </w:rPr>
      </w:pPr>
      <w:r>
        <w:rPr>
          <w:rFonts w:hint="eastAsia" w:ascii="仿宋_GB2312" w:hAnsi="仿宋_GB2312" w:eastAsia="仿宋_GB2312" w:cs="仿宋_GB2312"/>
          <w:color w:val="auto"/>
          <w:w w:val="95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w w:val="95"/>
          <w:lang w:eastAsia="en-US"/>
        </w:rPr>
        <w:t>项目准入行业</w:t>
      </w:r>
      <w:r>
        <w:rPr>
          <w:rFonts w:hint="eastAsia" w:ascii="仿宋_GB2312" w:hAnsi="仿宋_GB2312" w:eastAsia="仿宋_GB2312" w:cs="仿宋_GB2312"/>
          <w:color w:val="auto"/>
          <w:w w:val="95"/>
        </w:rPr>
        <w:t>：</w:t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  <w:lang w:eastAsia="en-US"/>
        </w:rPr>
        <w:tab/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  <w:lang w:eastAsia="en-US"/>
        </w:rPr>
        <w:tab/>
      </w:r>
      <w:r>
        <w:rPr>
          <w:rFonts w:hint="eastAsia" w:ascii="仿宋_GB2312" w:hAnsi="仿宋_GB2312" w:eastAsia="仿宋_GB2312" w:cs="仿宋_GB2312"/>
          <w:color w:val="auto"/>
          <w:lang w:eastAsia="en-US"/>
        </w:rPr>
        <w:t>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3945"/>
          <w:tab w:val="left" w:pos="79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200" w:firstLine="608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eastAsia="en-US"/>
        </w:rPr>
      </w:pPr>
      <w:r>
        <w:rPr>
          <w:rFonts w:hint="eastAsia" w:ascii="仿宋_GB2312" w:hAnsi="仿宋_GB2312" w:eastAsia="仿宋_GB2312" w:cs="仿宋_GB2312"/>
          <w:color w:val="auto"/>
          <w:w w:val="95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w w:val="95"/>
          <w:lang w:eastAsia="en-US"/>
        </w:rPr>
        <w:t>项目建设地点</w:t>
      </w:r>
      <w:r>
        <w:rPr>
          <w:rFonts w:hint="eastAsia" w:ascii="仿宋_GB2312" w:hAnsi="仿宋_GB2312" w:eastAsia="仿宋_GB2312" w:cs="仿宋_GB2312"/>
          <w:color w:val="auto"/>
          <w:w w:val="95"/>
        </w:rPr>
        <w:t>：</w:t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  <w:lang w:eastAsia="en-US"/>
        </w:rPr>
        <w:tab/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  <w:lang w:eastAsia="en-US"/>
        </w:rPr>
        <w:tab/>
      </w:r>
      <w:r>
        <w:rPr>
          <w:rFonts w:hint="eastAsia" w:ascii="仿宋_GB2312" w:hAnsi="仿宋_GB2312" w:eastAsia="仿宋_GB2312" w:cs="仿宋_GB2312"/>
          <w:color w:val="auto"/>
          <w:lang w:eastAsia="en-US"/>
        </w:rPr>
        <w:t>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4267"/>
          <w:tab w:val="left" w:pos="6507"/>
          <w:tab w:val="left" w:pos="7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200" w:firstLine="608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w w:val="95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w w:val="95"/>
        </w:rPr>
        <w:t>项目总用地面积：</w:t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</w:rPr>
        <w:t>（折</w:t>
      </w:r>
      <w:r>
        <w:rPr>
          <w:rFonts w:hint="eastAsia" w:ascii="仿宋_GB2312" w:hAnsi="仿宋_GB2312" w:eastAsia="仿宋_GB2312" w:cs="仿宋_GB2312"/>
          <w:color w:val="auto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pacing w:val="-54"/>
        </w:rPr>
        <w:t>亩）；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3307"/>
          <w:tab w:val="left" w:pos="3945"/>
          <w:tab w:val="left" w:pos="4587"/>
          <w:tab w:val="left" w:pos="5067"/>
          <w:tab w:val="left" w:pos="6187"/>
          <w:tab w:val="left" w:pos="6345"/>
          <w:tab w:val="left" w:pos="74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200" w:firstLine="608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w w:val="95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w w:val="95"/>
        </w:rPr>
        <w:t>已建建筑面积：</w:t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</w:rPr>
        <w:t>容积率:</w:t>
      </w:r>
      <w:r>
        <w:rPr>
          <w:rFonts w:hint="eastAsia" w:ascii="仿宋_GB2312" w:hAnsi="仿宋_GB2312" w:eastAsia="仿宋_GB2312" w:cs="仿宋_GB2312"/>
          <w:color w:val="auto"/>
          <w:w w:val="99"/>
          <w:u w:val="single" w:color="000000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w w:val="99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w w:val="99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w w:val="95"/>
        </w:rPr>
        <w:t>建筑密度：</w:t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w w:val="95"/>
        </w:rPr>
        <w:t>建筑高度:</w:t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</w:rPr>
        <w:t>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2985"/>
          <w:tab w:val="left" w:pos="4267"/>
          <w:tab w:val="left" w:pos="4426"/>
          <w:tab w:val="left" w:pos="5546"/>
          <w:tab w:val="left" w:pos="5707"/>
          <w:tab w:val="left" w:pos="6987"/>
          <w:tab w:val="left" w:pos="7305"/>
          <w:tab w:val="left" w:pos="85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200" w:firstLine="608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99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5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w w:val="95"/>
        </w:rPr>
        <w:t>拟新建建筑面积：</w:t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</w:rPr>
        <w:t>建筑高度：</w:t>
      </w:r>
      <w:r>
        <w:rPr>
          <w:rFonts w:hint="eastAsia" w:ascii="仿宋_GB2312" w:hAnsi="仿宋_GB2312" w:eastAsia="仿宋_GB2312" w:cs="仿宋_GB2312"/>
          <w:color w:val="auto"/>
          <w:w w:val="99"/>
          <w:u w:val="single" w:color="000000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w w:val="99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w w:val="95"/>
          <w:lang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w w:val="95"/>
        </w:rPr>
        <w:t>后地块总容积率：</w:t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w w:val="95"/>
        </w:rPr>
        <w:t>建筑密度：</w:t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</w:rPr>
        <w:t>绿地率：</w:t>
      </w:r>
      <w:r>
        <w:rPr>
          <w:rFonts w:hint="eastAsia" w:ascii="仿宋_GB2312" w:hAnsi="仿宋_GB2312" w:eastAsia="仿宋_GB2312" w:cs="仿宋_GB2312"/>
          <w:color w:val="auto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w w:val="99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</w:rPr>
        <w:t>停车位：</w:t>
      </w:r>
      <w:r>
        <w:rPr>
          <w:rFonts w:hint="eastAsia" w:ascii="仿宋_GB2312" w:hAnsi="仿宋_GB2312" w:eastAsia="仿宋_GB2312" w:cs="仿宋_GB2312"/>
          <w:color w:val="auto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6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20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（六）</w:t>
      </w:r>
      <w:r>
        <w:rPr>
          <w:rFonts w:hint="eastAsia" w:ascii="仿宋_GB2312" w:hAnsi="仿宋_GB2312" w:eastAsia="仿宋_GB2312" w:cs="仿宋_GB2312"/>
          <w:color w:val="auto"/>
          <w:lang w:eastAsia="en-US"/>
        </w:rPr>
        <w:t>项目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二次开发</w:t>
      </w:r>
      <w:r>
        <w:rPr>
          <w:rFonts w:hint="eastAsia" w:ascii="仿宋_GB2312" w:hAnsi="仿宋_GB2312" w:eastAsia="仿宋_GB2312" w:cs="仿宋_GB2312"/>
          <w:color w:val="auto"/>
          <w:lang w:eastAsia="en-US"/>
        </w:rPr>
        <w:t>完成后</w:t>
      </w:r>
      <w:r>
        <w:rPr>
          <w:rFonts w:hint="eastAsia" w:ascii="仿宋_GB2312" w:hAnsi="仿宋_GB2312" w:eastAsia="仿宋_GB2312" w:cs="仿宋_GB2312"/>
          <w:color w:val="auto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1216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w w:val="95"/>
        </w:rPr>
        <w:t>固定资产投资强度不低于</w:t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pacing w:val="2"/>
        </w:rPr>
        <w:t>万元/</w:t>
      </w:r>
      <w:r>
        <w:rPr>
          <w:rFonts w:hint="eastAsia" w:ascii="仿宋_GB2312" w:hAnsi="仿宋_GB2312" w:eastAsia="仿宋_GB2312" w:cs="仿宋_GB2312"/>
          <w:color w:val="auto"/>
          <w:spacing w:val="-26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</w:rPr>
        <w:t>亩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6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1216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99"/>
        </w:rPr>
      </w:pPr>
      <w:r>
        <w:rPr>
          <w:rFonts w:hint="eastAsia" w:ascii="仿宋_GB2312" w:hAnsi="仿宋_GB2312" w:eastAsia="仿宋_GB2312" w:cs="仿宋_GB2312"/>
          <w:color w:val="auto"/>
          <w:w w:val="95"/>
        </w:rPr>
        <w:t>年亩均税收不少于</w:t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pacing w:val="2"/>
        </w:rPr>
        <w:t>万元/</w:t>
      </w:r>
      <w:r>
        <w:rPr>
          <w:rFonts w:hint="eastAsia" w:ascii="仿宋_GB2312" w:hAnsi="仿宋_GB2312" w:eastAsia="仿宋_GB2312" w:cs="仿宋_GB2312"/>
          <w:color w:val="auto"/>
          <w:spacing w:val="-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</w:rPr>
        <w:t>亩</w:t>
      </w:r>
      <w:r>
        <w:rPr>
          <w:rFonts w:hint="eastAsia" w:ascii="仿宋_GB2312" w:hAnsi="仿宋_GB2312" w:eastAsia="仿宋_GB2312" w:cs="仿宋_GB2312"/>
          <w:color w:val="auto"/>
          <w:w w:val="99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6027"/>
          <w:tab w:val="left" w:pos="6346"/>
          <w:tab w:val="left" w:pos="6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1216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99"/>
        </w:rPr>
      </w:pPr>
      <w:r>
        <w:rPr>
          <w:rFonts w:hint="eastAsia" w:ascii="仿宋_GB2312" w:hAnsi="仿宋_GB2312" w:eastAsia="仿宋_GB2312" w:cs="仿宋_GB2312"/>
          <w:color w:val="auto"/>
          <w:w w:val="95"/>
        </w:rPr>
        <w:t>单位能耗增加值不低于</w:t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pacing w:val="2"/>
        </w:rPr>
        <w:t>万元/</w:t>
      </w:r>
      <w:r>
        <w:rPr>
          <w:rFonts w:hint="eastAsia" w:ascii="仿宋_GB2312" w:hAnsi="仿宋_GB2312" w:eastAsia="仿宋_GB2312" w:cs="仿宋_GB2312"/>
          <w:color w:val="auto"/>
          <w:spacing w:val="-26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</w:rPr>
        <w:t>吨标煤</w:t>
      </w:r>
      <w:r>
        <w:rPr>
          <w:rFonts w:hint="eastAsia" w:ascii="仿宋_GB2312" w:hAnsi="仿宋_GB2312" w:eastAsia="仿宋_GB2312" w:cs="仿宋_GB2312"/>
          <w:color w:val="auto"/>
          <w:w w:val="99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6027"/>
          <w:tab w:val="left" w:pos="6346"/>
          <w:tab w:val="left" w:pos="6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1216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w w:val="95"/>
        </w:rPr>
        <w:t>单位排放增加值不低于</w:t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pacing w:val="2"/>
        </w:rPr>
        <w:t>万元/</w:t>
      </w:r>
      <w:r>
        <w:rPr>
          <w:rFonts w:hint="eastAsia" w:ascii="仿宋_GB2312" w:hAnsi="仿宋_GB2312" w:eastAsia="仿宋_GB2312" w:cs="仿宋_GB2312"/>
          <w:color w:val="auto"/>
          <w:spacing w:val="-26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</w:rPr>
        <w:t>吨；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1927"/>
          <w:tab w:val="left" w:pos="2666"/>
          <w:tab w:val="left" w:pos="5392"/>
          <w:tab w:val="left" w:pos="79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1216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eastAsia="en-US"/>
        </w:rPr>
      </w:pPr>
      <w:r>
        <w:rPr>
          <w:rFonts w:hint="eastAsia" w:ascii="仿宋_GB2312" w:hAnsi="仿宋_GB2312" w:eastAsia="仿宋_GB2312" w:cs="仿宋_GB2312"/>
          <w:color w:val="auto"/>
          <w:w w:val="95"/>
          <w:lang w:eastAsia="zh-CN"/>
        </w:rPr>
        <w:t>（七）</w:t>
      </w:r>
      <w:r>
        <w:rPr>
          <w:rFonts w:hint="eastAsia" w:ascii="仿宋_GB2312" w:hAnsi="仿宋_GB2312" w:eastAsia="仿宋_GB2312" w:cs="仿宋_GB2312"/>
          <w:color w:val="auto"/>
          <w:w w:val="95"/>
          <w:lang w:eastAsia="en-US"/>
        </w:rPr>
        <w:t>其他</w:t>
      </w:r>
      <w:r>
        <w:rPr>
          <w:rFonts w:hint="eastAsia" w:ascii="仿宋_GB2312" w:hAnsi="仿宋_GB2312" w:eastAsia="仿宋_GB2312" w:cs="仿宋_GB2312"/>
          <w:color w:val="auto"/>
          <w:w w:val="95"/>
        </w:rPr>
        <w:t>:</w:t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  <w:lang w:eastAsia="en-US"/>
        </w:rPr>
        <w:tab/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  <w:lang w:eastAsia="en-US"/>
        </w:rPr>
        <w:t>/</w:t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  <w:lang w:eastAsia="en-US"/>
        </w:rPr>
        <w:tab/>
      </w:r>
      <w:r>
        <w:rPr>
          <w:rFonts w:hint="eastAsia" w:ascii="仿宋_GB2312" w:hAnsi="仿宋_GB2312" w:eastAsia="仿宋_GB2312" w:cs="仿宋_GB2312"/>
          <w:color w:val="auto"/>
          <w:w w:val="95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lang w:eastAsia="en-US"/>
        </w:rPr>
        <w:t>；</w:t>
      </w:r>
      <w:r>
        <w:rPr>
          <w:rFonts w:hint="eastAsia" w:ascii="仿宋_GB2312" w:hAnsi="仿宋_GB2312" w:eastAsia="仿宋_GB2312" w:cs="仿宋_GB2312"/>
          <w:color w:val="auto"/>
          <w:w w:val="99"/>
          <w:lang w:eastAsia="en-US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927"/>
          <w:tab w:val="left" w:pos="2666"/>
          <w:tab w:val="left" w:pos="5392"/>
          <w:tab w:val="left" w:pos="79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-10"/>
        </w:rPr>
        <w:t>第二条</w:t>
      </w:r>
      <w:r>
        <w:rPr>
          <w:rFonts w:hint="eastAsia" w:ascii="仿宋_GB2312" w:hAnsi="仿宋_GB2312" w:eastAsia="仿宋_GB2312" w:cs="仿宋_GB2312"/>
          <w:color w:val="auto"/>
          <w:spacing w:val="-10"/>
        </w:rPr>
        <w:tab/>
      </w:r>
      <w:r>
        <w:rPr>
          <w:rFonts w:hint="eastAsia" w:ascii="仿宋_GB2312" w:hAnsi="仿宋_GB2312" w:eastAsia="仿宋_GB2312" w:cs="仿宋_GB2312"/>
          <w:color w:val="auto"/>
          <w:spacing w:val="-6"/>
          <w:lang w:val="en-US" w:eastAsia="zh-CN"/>
        </w:rPr>
        <w:t>二次开发</w:t>
      </w:r>
      <w:r>
        <w:rPr>
          <w:rFonts w:hint="eastAsia" w:ascii="仿宋_GB2312" w:hAnsi="仿宋_GB2312" w:eastAsia="仿宋_GB2312" w:cs="仿宋_GB2312"/>
          <w:color w:val="auto"/>
          <w:spacing w:val="-6"/>
        </w:rPr>
        <w:t>项目在取得规划许可</w:t>
      </w:r>
      <w:r>
        <w:rPr>
          <w:rFonts w:hint="eastAsia" w:ascii="仿宋_GB2312" w:hAnsi="仿宋_GB2312" w:eastAsia="仿宋_GB2312" w:cs="仿宋_GB2312"/>
          <w:color w:val="auto"/>
          <w:spacing w:val="-6"/>
          <w:lang w:eastAsia="zh-CN"/>
        </w:rPr>
        <w:t>证</w:t>
      </w:r>
      <w:r>
        <w:rPr>
          <w:rFonts w:hint="eastAsia" w:ascii="仿宋_GB2312" w:hAnsi="仿宋_GB2312" w:eastAsia="仿宋_GB2312" w:cs="仿宋_GB2312"/>
          <w:color w:val="auto"/>
          <w:spacing w:val="-6"/>
        </w:rPr>
        <w:t>后，</w:t>
      </w:r>
      <w:r>
        <w:rPr>
          <w:rFonts w:hint="eastAsia" w:ascii="仿宋_GB2312" w:hAnsi="仿宋_GB2312" w:eastAsia="仿宋_GB2312" w:cs="仿宋_GB2312"/>
          <w:color w:val="auto"/>
          <w:spacing w:val="-6"/>
          <w:lang w:eastAsia="zh-CN"/>
        </w:rPr>
        <w:t>应按规划许可约定时限开、</w:t>
      </w:r>
      <w:r>
        <w:rPr>
          <w:rFonts w:hint="eastAsia" w:ascii="仿宋_GB2312" w:hAnsi="仿宋_GB2312" w:eastAsia="仿宋_GB2312" w:cs="仿宋_GB2312"/>
          <w:color w:val="auto"/>
          <w:spacing w:val="-6"/>
        </w:rPr>
        <w:t>竣工</w:t>
      </w:r>
      <w:r>
        <w:rPr>
          <w:rFonts w:hint="eastAsia" w:ascii="仿宋_GB2312" w:hAnsi="仿宋_GB2312" w:eastAsia="仿宋_GB2312" w:cs="仿宋_GB2312"/>
          <w:color w:val="auto"/>
          <w:spacing w:val="-6"/>
          <w:lang w:eastAsia="zh-CN"/>
        </w:rPr>
        <w:t>，因自身原因造成开竣工延期的，应承担相应违约责任</w:t>
      </w:r>
      <w:r>
        <w:rPr>
          <w:rFonts w:hint="eastAsia" w:ascii="仿宋_GB2312" w:hAnsi="仿宋_GB2312" w:eastAsia="仿宋_GB2312" w:cs="仿宋_GB2312"/>
          <w:color w:val="auto"/>
          <w:spacing w:val="4"/>
          <w:w w:val="95"/>
        </w:rPr>
        <w:t>。本项</w:t>
      </w:r>
      <w:r>
        <w:rPr>
          <w:rFonts w:hint="eastAsia" w:ascii="仿宋_GB2312" w:hAnsi="仿宋_GB2312" w:eastAsia="仿宋_GB2312" w:cs="仿宋_GB2312"/>
          <w:color w:val="auto"/>
        </w:rPr>
        <w:t xml:space="preserve">目乙方同意在   年  月   </w:t>
      </w:r>
      <w:r>
        <w:rPr>
          <w:rFonts w:hint="eastAsia" w:ascii="仿宋_GB2312" w:hAnsi="仿宋_GB2312" w:eastAsia="仿宋_GB2312" w:cs="仿宋_GB2312"/>
          <w:color w:val="auto"/>
          <w:spacing w:val="-10"/>
        </w:rPr>
        <w:t xml:space="preserve">日之前开工，在  </w:t>
      </w:r>
      <w:r>
        <w:rPr>
          <w:rFonts w:hint="eastAsia" w:ascii="仿宋_GB2312" w:hAnsi="仿宋_GB2312" w:eastAsia="仿宋_GB2312" w:cs="仿宋_GB2312"/>
          <w:color w:val="auto"/>
        </w:rPr>
        <w:t xml:space="preserve">年  月 </w:t>
      </w:r>
      <w:r>
        <w:rPr>
          <w:rFonts w:hint="eastAsia" w:ascii="仿宋_GB2312" w:hAnsi="仿宋_GB2312" w:eastAsia="仿宋_GB2312" w:cs="仿宋_GB2312"/>
          <w:color w:val="auto"/>
          <w:spacing w:val="1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</w:rPr>
        <w:t>日之前竣工，  年   月   日之前达产。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-10"/>
        </w:rPr>
        <w:t>第三条</w:t>
      </w:r>
      <w:r>
        <w:rPr>
          <w:rFonts w:hint="eastAsia" w:ascii="仿宋_GB2312" w:hAnsi="仿宋_GB2312" w:eastAsia="仿宋_GB2312" w:cs="仿宋_GB2312"/>
          <w:color w:val="auto"/>
          <w:spacing w:val="11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lang w:val="en-US" w:eastAsia="zh-CN"/>
        </w:rPr>
        <w:t>二次开发</w:t>
      </w:r>
      <w:r>
        <w:rPr>
          <w:rFonts w:hint="eastAsia" w:ascii="仿宋_GB2312" w:hAnsi="仿宋_GB2312" w:eastAsia="仿宋_GB2312" w:cs="仿宋_GB2312"/>
          <w:color w:val="auto"/>
          <w:spacing w:val="-6"/>
        </w:rPr>
        <w:t>项目在办理不动产权证前，乙方应按协议</w:t>
      </w:r>
      <w:r>
        <w:rPr>
          <w:rFonts w:hint="eastAsia" w:ascii="仿宋_GB2312" w:hAnsi="仿宋_GB2312" w:eastAsia="仿宋_GB2312" w:cs="仿宋_GB2312"/>
          <w:color w:val="auto"/>
          <w:w w:val="95"/>
        </w:rPr>
        <w:t xml:space="preserve">约定的项目年税收额10%向甲方提供达产复核履约银行保函（计税土地面积按照企业总用地面积计算），大写 </w:t>
      </w:r>
      <w:r>
        <w:rPr>
          <w:rFonts w:hint="eastAsia" w:ascii="仿宋_GB2312" w:hAnsi="仿宋_GB2312" w:eastAsia="仿宋_GB2312" w:cs="仿宋_GB2312"/>
          <w:color w:val="auto"/>
          <w:spacing w:val="-133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47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14"/>
        </w:rPr>
        <w:t>元（小写  元）</w:t>
      </w:r>
      <w:r>
        <w:rPr>
          <w:rFonts w:hint="eastAsia" w:ascii="仿宋_GB2312" w:hAnsi="仿宋_GB2312" w:eastAsia="仿宋_GB2312" w:cs="仿宋_GB2312"/>
          <w:color w:val="auto"/>
          <w:spacing w:val="-8"/>
          <w:w w:val="95"/>
        </w:rPr>
        <w:t>，履约保函在通过达产复核后解除，达产复核未通过的，甲</w:t>
      </w:r>
      <w:r>
        <w:rPr>
          <w:rFonts w:hint="eastAsia" w:ascii="仿宋_GB2312" w:hAnsi="仿宋_GB2312" w:eastAsia="仿宋_GB2312" w:cs="仿宋_GB2312"/>
          <w:color w:val="auto"/>
        </w:rPr>
        <w:t>方有权向银行收取履约保函金额。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4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-9"/>
        </w:rPr>
        <w:t xml:space="preserve">第四条 </w:t>
      </w:r>
      <w:r>
        <w:rPr>
          <w:rFonts w:hint="eastAsia" w:ascii="仿宋_GB2312" w:hAnsi="仿宋_GB2312" w:eastAsia="仿宋_GB2312" w:cs="仿宋_GB2312"/>
          <w:color w:val="auto"/>
        </w:rPr>
        <w:t>达产约定期限届满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</w:rPr>
        <w:t>日前，乙方应向甲方提出达</w:t>
      </w:r>
      <w:r>
        <w:rPr>
          <w:rFonts w:hint="eastAsia" w:ascii="仿宋_GB2312" w:hAnsi="仿宋_GB2312" w:eastAsia="仿宋_GB2312" w:cs="仿宋_GB2312"/>
          <w:color w:val="auto"/>
          <w:spacing w:val="4"/>
          <w:w w:val="95"/>
        </w:rPr>
        <w:t>产复核申请，甲方应及时会同相关部门进行验收。乙方逾期未</w:t>
      </w:r>
      <w:r>
        <w:rPr>
          <w:rFonts w:hint="eastAsia" w:ascii="仿宋_GB2312" w:hAnsi="仿宋_GB2312" w:eastAsia="仿宋_GB2312" w:cs="仿宋_GB2312"/>
          <w:color w:val="auto"/>
        </w:rPr>
        <w:t>申请达产复核的，视达产复核未通过。</w:t>
      </w:r>
    </w:p>
    <w:p>
      <w:pPr>
        <w:keepNext w:val="0"/>
        <w:keepLines w:val="0"/>
        <w:pageBreakBefore w:val="0"/>
        <w:widowControl w:val="0"/>
        <w:tabs>
          <w:tab w:val="left" w:pos="19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8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-3"/>
        </w:rPr>
        <w:t>达产复核时，除不可抗力外，亩均税收、单位能耗增加值、</w:t>
      </w:r>
      <w:r>
        <w:rPr>
          <w:rFonts w:hint="eastAsia" w:ascii="仿宋_GB2312" w:hAnsi="仿宋_GB2312" w:eastAsia="仿宋_GB2312" w:cs="仿宋_GB2312"/>
          <w:color w:val="auto"/>
          <w:spacing w:val="4"/>
          <w:w w:val="95"/>
        </w:rPr>
        <w:t>单位排放增加值等任一项不符合本协议约定的，</w:t>
      </w:r>
      <w:r>
        <w:rPr>
          <w:rFonts w:hint="eastAsia" w:ascii="仿宋_GB2312" w:hAnsi="仿宋_GB2312" w:eastAsia="仿宋_GB2312" w:cs="仿宋_GB2312"/>
          <w:color w:val="auto"/>
          <w:spacing w:val="3"/>
        </w:rPr>
        <w:t>甲方有权责令</w:t>
      </w:r>
      <w:r>
        <w:rPr>
          <w:rFonts w:hint="eastAsia" w:ascii="仿宋_GB2312" w:hAnsi="仿宋_GB2312" w:eastAsia="仿宋_GB2312" w:cs="仿宋_GB2312"/>
          <w:color w:val="auto"/>
        </w:rPr>
        <w:t>乙方限期整改，整改期最长不超过1年。整改后仍不能达到本协</w:t>
      </w:r>
      <w:r>
        <w:rPr>
          <w:rFonts w:hint="eastAsia" w:ascii="仿宋_GB2312" w:hAnsi="仿宋_GB2312" w:eastAsia="仿宋_GB2312" w:cs="仿宋_GB2312"/>
          <w:color w:val="auto"/>
          <w:spacing w:val="4"/>
        </w:rPr>
        <w:t>议约定的，达产复核不予通过，并有权提请有关部门依照国家</w:t>
      </w:r>
      <w:r>
        <w:rPr>
          <w:rFonts w:hint="eastAsia" w:ascii="仿宋_GB2312" w:hAnsi="仿宋_GB2312" w:eastAsia="仿宋_GB2312" w:cs="仿宋_GB2312"/>
          <w:color w:val="auto"/>
        </w:rPr>
        <w:t>和省规定纳入本级公共征信系统，依法提供查询或予以公示。</w:t>
      </w:r>
    </w:p>
    <w:p>
      <w:pPr>
        <w:keepNext w:val="0"/>
        <w:keepLines w:val="0"/>
        <w:pageBreakBefore w:val="0"/>
        <w:widowControl w:val="0"/>
        <w:tabs>
          <w:tab w:val="left" w:pos="19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-10"/>
        </w:rPr>
        <w:t>第五条</w:t>
      </w:r>
      <w:r>
        <w:rPr>
          <w:rFonts w:hint="eastAsia" w:ascii="仿宋_GB2312" w:hAnsi="仿宋_GB2312" w:eastAsia="仿宋_GB2312" w:cs="仿宋_GB2312"/>
          <w:color w:val="auto"/>
          <w:spacing w:val="-10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达产复核未通过的，由甲方按照达产协议相关约定进行处置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-10"/>
        </w:rPr>
        <w:t>第六条</w:t>
      </w:r>
      <w:r>
        <w:rPr>
          <w:rFonts w:hint="eastAsia" w:ascii="仿宋_GB2312" w:hAnsi="仿宋_GB2312" w:eastAsia="仿宋_GB2312" w:cs="仿宋_GB2312"/>
          <w:color w:val="auto"/>
          <w:spacing w:val="11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</w:rPr>
        <w:t>因不可抗力不能履行本协议的，根据不可抗力的影</w:t>
      </w:r>
      <w:r>
        <w:rPr>
          <w:rFonts w:hint="eastAsia" w:ascii="仿宋_GB2312" w:hAnsi="仿宋_GB2312" w:eastAsia="仿宋_GB2312" w:cs="仿宋_GB2312"/>
          <w:color w:val="auto"/>
          <w:spacing w:val="4"/>
          <w:w w:val="95"/>
        </w:rPr>
        <w:t>响，部分或全部免除责任，但法律另有规定的除外。具体事项</w:t>
      </w:r>
      <w:r>
        <w:rPr>
          <w:rFonts w:hint="eastAsia" w:ascii="仿宋_GB2312" w:hAnsi="仿宋_GB2312" w:eastAsia="仿宋_GB2312" w:cs="仿宋_GB2312"/>
          <w:color w:val="auto"/>
          <w:spacing w:val="-13"/>
        </w:rPr>
        <w:t>双方可另行协商。</w:t>
      </w:r>
    </w:p>
    <w:p>
      <w:pPr>
        <w:keepNext w:val="0"/>
        <w:keepLines w:val="0"/>
        <w:pageBreakBefore w:val="0"/>
        <w:widowControl w:val="0"/>
        <w:tabs>
          <w:tab w:val="left" w:pos="19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-10"/>
        </w:rPr>
        <w:t>第七条</w:t>
      </w:r>
      <w:r>
        <w:rPr>
          <w:rFonts w:hint="eastAsia" w:ascii="仿宋_GB2312" w:hAnsi="仿宋_GB2312" w:eastAsia="仿宋_GB2312" w:cs="仿宋_GB2312"/>
          <w:color w:val="auto"/>
          <w:spacing w:val="-10"/>
        </w:rPr>
        <w:tab/>
      </w:r>
      <w:r>
        <w:rPr>
          <w:rFonts w:hint="eastAsia" w:ascii="仿宋_GB2312" w:hAnsi="仿宋_GB2312" w:eastAsia="仿宋_GB2312" w:cs="仿宋_GB2312"/>
          <w:color w:val="auto"/>
        </w:rPr>
        <w:t>本协议的订立、效力、解释、履行及争议的解决，</w:t>
      </w:r>
      <w:r>
        <w:rPr>
          <w:rFonts w:hint="eastAsia" w:ascii="仿宋_GB2312" w:hAnsi="仿宋_GB2312" w:eastAsia="仿宋_GB2312" w:cs="仿宋_GB2312"/>
          <w:color w:val="auto"/>
          <w:spacing w:val="4"/>
        </w:rPr>
        <w:t>适用中华人民共和国法律。甲乙双方因履行本协议而发生纠纷</w:t>
      </w:r>
      <w:r>
        <w:rPr>
          <w:rFonts w:hint="eastAsia" w:ascii="仿宋_GB2312" w:hAnsi="仿宋_GB2312" w:eastAsia="仿宋_GB2312" w:cs="仿宋_GB2312"/>
          <w:color w:val="auto"/>
        </w:rPr>
        <w:t>的，向甲方所在地人民法院提起诉讼。</w:t>
      </w:r>
    </w:p>
    <w:p>
      <w:pPr>
        <w:keepNext w:val="0"/>
        <w:keepLines w:val="0"/>
        <w:pageBreakBefore w:val="0"/>
        <w:widowControl w:val="0"/>
        <w:tabs>
          <w:tab w:val="left" w:pos="19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-10"/>
        </w:rPr>
        <w:t>第八条</w:t>
      </w:r>
      <w:r>
        <w:rPr>
          <w:rFonts w:hint="eastAsia" w:ascii="仿宋_GB2312" w:hAnsi="仿宋_GB2312" w:eastAsia="仿宋_GB2312" w:cs="仿宋_GB2312"/>
          <w:color w:val="auto"/>
          <w:spacing w:val="-10"/>
        </w:rPr>
        <w:tab/>
      </w:r>
      <w:r>
        <w:rPr>
          <w:rFonts w:hint="eastAsia" w:ascii="仿宋_GB2312" w:hAnsi="仿宋_GB2312" w:eastAsia="仿宋_GB2312" w:cs="仿宋_GB2312"/>
          <w:color w:val="auto"/>
          <w:spacing w:val="-6"/>
        </w:rPr>
        <w:t>本协议自</w:t>
      </w:r>
      <w:r>
        <w:rPr>
          <w:rFonts w:hint="eastAsia" w:ascii="仿宋_GB2312" w:hAnsi="仿宋_GB2312" w:eastAsia="仿宋_GB2312" w:cs="仿宋_GB2312"/>
          <w:color w:val="auto"/>
          <w:spacing w:val="-6"/>
          <w:lang w:val="en-US" w:eastAsia="zh-CN"/>
        </w:rPr>
        <w:t>二次开发</w:t>
      </w:r>
      <w:r>
        <w:rPr>
          <w:rFonts w:hint="eastAsia" w:ascii="仿宋_GB2312" w:hAnsi="仿宋_GB2312" w:eastAsia="仿宋_GB2312" w:cs="仿宋_GB2312"/>
          <w:color w:val="auto"/>
          <w:spacing w:val="-6"/>
        </w:rPr>
        <w:t>项目审查通过后生效。本协议一</w:t>
      </w:r>
      <w:r>
        <w:rPr>
          <w:rFonts w:hint="eastAsia" w:ascii="仿宋_GB2312" w:hAnsi="仿宋_GB2312" w:eastAsia="仿宋_GB2312" w:cs="仿宋_GB2312"/>
          <w:color w:val="auto"/>
          <w:spacing w:val="-14"/>
        </w:rPr>
        <w:t>式两份，甲、乙双方各执一份，具有同等法律效力。</w:t>
      </w:r>
    </w:p>
    <w:p>
      <w:pPr>
        <w:spacing w:line="240" w:lineRule="auto"/>
        <w:ind w:firstLine="640"/>
        <w:jc w:val="left"/>
        <w:rPr>
          <w:rFonts w:hint="eastAsia" w:ascii="仿宋_GB2312" w:hAnsi="仿宋_GB2312" w:eastAsia="仿宋_GB2312" w:cs="仿宋_GB2312"/>
          <w:color w:val="auto"/>
          <w:kern w:val="0"/>
        </w:rPr>
      </w:pPr>
    </w:p>
    <w:p>
      <w:pPr>
        <w:spacing w:line="240" w:lineRule="auto"/>
        <w:ind w:firstLine="640"/>
        <w:jc w:val="left"/>
        <w:rPr>
          <w:rFonts w:hint="eastAsia" w:ascii="仿宋_GB2312" w:hAnsi="仿宋_GB2312" w:eastAsia="仿宋_GB2312" w:cs="仿宋_GB2312"/>
          <w:color w:val="auto"/>
          <w:kern w:val="0"/>
        </w:rPr>
      </w:pPr>
    </w:p>
    <w:p>
      <w:pPr>
        <w:spacing w:line="240" w:lineRule="auto"/>
        <w:ind w:firstLine="640"/>
        <w:jc w:val="left"/>
        <w:rPr>
          <w:rFonts w:hint="eastAsia" w:ascii="仿宋_GB2312" w:hAnsi="仿宋_GB2312" w:eastAsia="仿宋_GB2312" w:cs="仿宋_GB2312"/>
          <w:color w:val="auto"/>
          <w:kern w:val="0"/>
        </w:rPr>
      </w:pPr>
    </w:p>
    <w:p>
      <w:pPr>
        <w:spacing w:before="1" w:line="240" w:lineRule="auto"/>
        <w:ind w:firstLine="800"/>
        <w:jc w:val="left"/>
        <w:rPr>
          <w:rFonts w:hint="eastAsia" w:ascii="仿宋_GB2312" w:hAnsi="仿宋_GB2312" w:eastAsia="仿宋_GB2312" w:cs="仿宋_GB2312"/>
          <w:color w:val="auto"/>
          <w:kern w:val="0"/>
          <w:sz w:val="40"/>
          <w:szCs w:val="40"/>
        </w:rPr>
      </w:pPr>
    </w:p>
    <w:p>
      <w:pPr>
        <w:tabs>
          <w:tab w:val="left" w:pos="5227"/>
        </w:tabs>
        <w:spacing w:line="334" w:lineRule="auto"/>
        <w:ind w:left="497" w:hanging="500" w:hangingChars="200"/>
        <w:jc w:val="left"/>
        <w:rPr>
          <w:rFonts w:hint="eastAsia" w:ascii="仿宋_GB2312" w:hAnsi="仿宋_GB2312" w:eastAsia="仿宋_GB2312" w:cs="仿宋_GB2312"/>
          <w:color w:val="auto"/>
          <w:spacing w:val="-27"/>
          <w:lang w:eastAsia="en-US"/>
        </w:rPr>
      </w:pPr>
      <w:r>
        <w:rPr>
          <w:rFonts w:hint="eastAsia" w:ascii="仿宋_GB2312" w:hAnsi="仿宋_GB2312" w:eastAsia="仿宋_GB2312" w:cs="仿宋_GB2312"/>
          <w:color w:val="auto"/>
          <w:spacing w:val="-27"/>
          <w:w w:val="95"/>
          <w:lang w:eastAsia="en-US"/>
        </w:rPr>
        <w:t>甲方（章）：</w:t>
      </w:r>
      <w:r>
        <w:rPr>
          <w:rFonts w:hint="eastAsia" w:ascii="仿宋_GB2312" w:hAnsi="仿宋_GB2312" w:cs="仿宋_GB2312"/>
          <w:color w:val="auto"/>
          <w:spacing w:val="-27"/>
          <w:w w:val="95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pacing w:val="-27"/>
          <w:lang w:eastAsia="en-US"/>
        </w:rPr>
        <w:t>乙方（章）：</w:t>
      </w:r>
    </w:p>
    <w:p>
      <w:pPr>
        <w:tabs>
          <w:tab w:val="left" w:pos="5227"/>
        </w:tabs>
        <w:spacing w:line="334" w:lineRule="auto"/>
        <w:ind w:left="605" w:hanging="608" w:hangingChars="200"/>
        <w:jc w:val="left"/>
        <w:rPr>
          <w:rFonts w:hint="eastAsia" w:ascii="仿宋_GB2312" w:hAnsi="仿宋_GB2312" w:eastAsia="仿宋_GB2312" w:cs="仿宋_GB2312"/>
          <w:color w:val="auto"/>
          <w:lang w:eastAsia="en-US"/>
        </w:rPr>
      </w:pPr>
      <w:r>
        <w:rPr>
          <w:rFonts w:hint="eastAsia" w:ascii="仿宋_GB2312" w:hAnsi="仿宋_GB2312" w:eastAsia="仿宋_GB2312" w:cs="仿宋_GB2312"/>
          <w:color w:val="auto"/>
          <w:w w:val="95"/>
          <w:lang w:eastAsia="en-US"/>
        </w:rPr>
        <w:t>法定代表人（委托代理人）</w:t>
      </w:r>
      <w:r>
        <w:rPr>
          <w:rFonts w:hint="eastAsia" w:ascii="仿宋_GB2312" w:hAnsi="仿宋_GB2312" w:cs="仿宋_GB2312"/>
          <w:color w:val="auto"/>
          <w:w w:val="95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lang w:eastAsia="en-US"/>
        </w:rPr>
        <w:t>法定代表人(委托代理人)</w:t>
      </w:r>
    </w:p>
    <w:p>
      <w:pPr>
        <w:tabs>
          <w:tab w:val="left" w:pos="5067"/>
        </w:tabs>
        <w:spacing w:line="416" w:lineRule="exact"/>
        <w:ind w:left="477" w:hanging="480" w:hangingChars="20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-32"/>
          <w:w w:val="95"/>
        </w:rPr>
        <w:t>（签字）：</w:t>
      </w:r>
      <w:r>
        <w:rPr>
          <w:rFonts w:hint="eastAsia" w:ascii="仿宋_GB2312" w:hAnsi="仿宋_GB2312" w:cs="仿宋_GB2312"/>
          <w:color w:val="auto"/>
          <w:spacing w:val="-32"/>
          <w:w w:val="95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auto"/>
          <w:spacing w:val="-32"/>
        </w:rPr>
        <w:t>（签字）：</w:t>
      </w:r>
    </w:p>
    <w:p>
      <w:pPr>
        <w:spacing w:line="416" w:lineRule="exact"/>
        <w:ind w:firstLine="640"/>
        <w:jc w:val="left"/>
        <w:rPr>
          <w:color w:val="auto"/>
        </w:rPr>
      </w:pPr>
    </w:p>
    <w:p>
      <w:pPr>
        <w:spacing w:line="416" w:lineRule="exact"/>
        <w:ind w:firstLine="640"/>
        <w:jc w:val="left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0" w:firstLineChars="0"/>
        <w:jc w:val="left"/>
        <w:textAlignment w:val="auto"/>
        <w:rPr>
          <w:rFonts w:hint="default" w:ascii="仿宋_GB2312" w:hAnsi="仿宋_GB2312" w:cs="仿宋_GB2312"/>
          <w:color w:val="auto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13" w:right="1800" w:bottom="1157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FZXBSJW--GB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3F00" w:csb1="01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00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rFonts w:hint="default" w:eastAsia="仿宋_GB231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a1OYW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wGtTm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rFonts w:hint="default" w:eastAsia="仿宋_GB231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eastAsia="仿宋_GB231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eastAsia="仿宋_GB231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Dc0YzEzNzQ2YTI4NDAxNGQ3YjNmZjNiODcyYzgifQ=="/>
  </w:docVars>
  <w:rsids>
    <w:rsidRoot w:val="5F1D64A1"/>
    <w:rsid w:val="00300697"/>
    <w:rsid w:val="003433B0"/>
    <w:rsid w:val="00457500"/>
    <w:rsid w:val="006800F8"/>
    <w:rsid w:val="008843BC"/>
    <w:rsid w:val="008D2658"/>
    <w:rsid w:val="008E0245"/>
    <w:rsid w:val="009E7F11"/>
    <w:rsid w:val="00AF54BC"/>
    <w:rsid w:val="00B3327F"/>
    <w:rsid w:val="00C35C3A"/>
    <w:rsid w:val="00CF1CAD"/>
    <w:rsid w:val="00D24FF0"/>
    <w:rsid w:val="00D33ACB"/>
    <w:rsid w:val="00E309D2"/>
    <w:rsid w:val="00E85BCE"/>
    <w:rsid w:val="00F44E4A"/>
    <w:rsid w:val="00FE2EB7"/>
    <w:rsid w:val="01100E9B"/>
    <w:rsid w:val="01A93FA3"/>
    <w:rsid w:val="01D20AC2"/>
    <w:rsid w:val="01F3521E"/>
    <w:rsid w:val="02555ED9"/>
    <w:rsid w:val="02E85DE1"/>
    <w:rsid w:val="03260206"/>
    <w:rsid w:val="03F77EFA"/>
    <w:rsid w:val="04090D29"/>
    <w:rsid w:val="0512481D"/>
    <w:rsid w:val="051A6AB8"/>
    <w:rsid w:val="051B00E5"/>
    <w:rsid w:val="0559183C"/>
    <w:rsid w:val="06B62866"/>
    <w:rsid w:val="06C17519"/>
    <w:rsid w:val="06CE0008"/>
    <w:rsid w:val="06F44178"/>
    <w:rsid w:val="071A493F"/>
    <w:rsid w:val="07217804"/>
    <w:rsid w:val="075372D2"/>
    <w:rsid w:val="07EB778C"/>
    <w:rsid w:val="08163A15"/>
    <w:rsid w:val="08A748F7"/>
    <w:rsid w:val="08CA47FF"/>
    <w:rsid w:val="09490DC9"/>
    <w:rsid w:val="09C768B0"/>
    <w:rsid w:val="09CA3B9C"/>
    <w:rsid w:val="09D0687D"/>
    <w:rsid w:val="0A081A83"/>
    <w:rsid w:val="0AAD02CE"/>
    <w:rsid w:val="0B100D93"/>
    <w:rsid w:val="0B552AA6"/>
    <w:rsid w:val="0B942612"/>
    <w:rsid w:val="0BFD5F20"/>
    <w:rsid w:val="0C1C575E"/>
    <w:rsid w:val="0CD93263"/>
    <w:rsid w:val="0CED4443"/>
    <w:rsid w:val="0CF50128"/>
    <w:rsid w:val="0D037D85"/>
    <w:rsid w:val="0D364E09"/>
    <w:rsid w:val="0D6A24A1"/>
    <w:rsid w:val="0DF20A80"/>
    <w:rsid w:val="0E353770"/>
    <w:rsid w:val="0E787BDD"/>
    <w:rsid w:val="0E910478"/>
    <w:rsid w:val="0E9B4C74"/>
    <w:rsid w:val="0EAA4EB7"/>
    <w:rsid w:val="0EDC7C36"/>
    <w:rsid w:val="0F6B39D8"/>
    <w:rsid w:val="100833DB"/>
    <w:rsid w:val="108C6F6A"/>
    <w:rsid w:val="10914442"/>
    <w:rsid w:val="10C51A52"/>
    <w:rsid w:val="11BE23F6"/>
    <w:rsid w:val="11DB2AC2"/>
    <w:rsid w:val="11E7178C"/>
    <w:rsid w:val="125E66E4"/>
    <w:rsid w:val="12A5127D"/>
    <w:rsid w:val="12BD54CC"/>
    <w:rsid w:val="12C54C84"/>
    <w:rsid w:val="12E6250F"/>
    <w:rsid w:val="13367EB4"/>
    <w:rsid w:val="13DC1FB6"/>
    <w:rsid w:val="14415662"/>
    <w:rsid w:val="14531B4D"/>
    <w:rsid w:val="14537716"/>
    <w:rsid w:val="146F4510"/>
    <w:rsid w:val="151C4634"/>
    <w:rsid w:val="157A1AC5"/>
    <w:rsid w:val="158D7C83"/>
    <w:rsid w:val="159A5104"/>
    <w:rsid w:val="15ED6F84"/>
    <w:rsid w:val="16102902"/>
    <w:rsid w:val="16695657"/>
    <w:rsid w:val="16A92BFA"/>
    <w:rsid w:val="16D51318"/>
    <w:rsid w:val="17076E4C"/>
    <w:rsid w:val="176F4EEF"/>
    <w:rsid w:val="176F68B2"/>
    <w:rsid w:val="17C1223A"/>
    <w:rsid w:val="17F16AA6"/>
    <w:rsid w:val="17F86280"/>
    <w:rsid w:val="181772BB"/>
    <w:rsid w:val="18822A00"/>
    <w:rsid w:val="18D86AC4"/>
    <w:rsid w:val="19B17A41"/>
    <w:rsid w:val="19BC1F42"/>
    <w:rsid w:val="1A460E27"/>
    <w:rsid w:val="1AC9700C"/>
    <w:rsid w:val="1AEB4323"/>
    <w:rsid w:val="1B073EA0"/>
    <w:rsid w:val="1B635392"/>
    <w:rsid w:val="1C6265C0"/>
    <w:rsid w:val="1C8C16D6"/>
    <w:rsid w:val="1CF71C0F"/>
    <w:rsid w:val="1DC224F8"/>
    <w:rsid w:val="1DF04A7B"/>
    <w:rsid w:val="1E1B2678"/>
    <w:rsid w:val="1E7554E1"/>
    <w:rsid w:val="1EB311F8"/>
    <w:rsid w:val="1ECE2956"/>
    <w:rsid w:val="1ECF4149"/>
    <w:rsid w:val="1F072441"/>
    <w:rsid w:val="1FB3A12A"/>
    <w:rsid w:val="1FC90EF8"/>
    <w:rsid w:val="20120F2F"/>
    <w:rsid w:val="204F7F69"/>
    <w:rsid w:val="20602CAB"/>
    <w:rsid w:val="20CB6718"/>
    <w:rsid w:val="20CE6797"/>
    <w:rsid w:val="20E04B75"/>
    <w:rsid w:val="20F93507"/>
    <w:rsid w:val="213A5F9B"/>
    <w:rsid w:val="21536330"/>
    <w:rsid w:val="21CE0977"/>
    <w:rsid w:val="21D3730A"/>
    <w:rsid w:val="22486A69"/>
    <w:rsid w:val="229C4D78"/>
    <w:rsid w:val="22F505E7"/>
    <w:rsid w:val="234D2128"/>
    <w:rsid w:val="237C5BD3"/>
    <w:rsid w:val="23AD1279"/>
    <w:rsid w:val="23D700D0"/>
    <w:rsid w:val="23E0707A"/>
    <w:rsid w:val="24933D37"/>
    <w:rsid w:val="256E396D"/>
    <w:rsid w:val="25943F6E"/>
    <w:rsid w:val="25DE44B5"/>
    <w:rsid w:val="264039FB"/>
    <w:rsid w:val="26C43225"/>
    <w:rsid w:val="27A25897"/>
    <w:rsid w:val="27AF30E6"/>
    <w:rsid w:val="27DA0163"/>
    <w:rsid w:val="28293F92"/>
    <w:rsid w:val="288325A9"/>
    <w:rsid w:val="28BA7DF1"/>
    <w:rsid w:val="292B0E8C"/>
    <w:rsid w:val="293F0948"/>
    <w:rsid w:val="297E2DA6"/>
    <w:rsid w:val="29803016"/>
    <w:rsid w:val="29AA4571"/>
    <w:rsid w:val="2A0E209B"/>
    <w:rsid w:val="2A6C52BE"/>
    <w:rsid w:val="2A730850"/>
    <w:rsid w:val="2A785553"/>
    <w:rsid w:val="2A834AE2"/>
    <w:rsid w:val="2B756A27"/>
    <w:rsid w:val="2B8A00F2"/>
    <w:rsid w:val="2BB260E9"/>
    <w:rsid w:val="2CA74DA5"/>
    <w:rsid w:val="2CA86A82"/>
    <w:rsid w:val="2CCA4738"/>
    <w:rsid w:val="2CDE6947"/>
    <w:rsid w:val="2D6C5D01"/>
    <w:rsid w:val="2D8D1C0A"/>
    <w:rsid w:val="2DB170A7"/>
    <w:rsid w:val="2EA66FF1"/>
    <w:rsid w:val="2EF929B6"/>
    <w:rsid w:val="2F0F670D"/>
    <w:rsid w:val="2F1F1AC1"/>
    <w:rsid w:val="2F265668"/>
    <w:rsid w:val="2F310451"/>
    <w:rsid w:val="2F532758"/>
    <w:rsid w:val="2F5F53F2"/>
    <w:rsid w:val="2F8A2A02"/>
    <w:rsid w:val="2F8C2C87"/>
    <w:rsid w:val="2FAB7072"/>
    <w:rsid w:val="2FF12009"/>
    <w:rsid w:val="302D074F"/>
    <w:rsid w:val="30BD71A1"/>
    <w:rsid w:val="311215BE"/>
    <w:rsid w:val="312D39F9"/>
    <w:rsid w:val="315A37BA"/>
    <w:rsid w:val="31812575"/>
    <w:rsid w:val="31A13C67"/>
    <w:rsid w:val="31B21510"/>
    <w:rsid w:val="31BB7257"/>
    <w:rsid w:val="31BF3799"/>
    <w:rsid w:val="3203195A"/>
    <w:rsid w:val="321A36B7"/>
    <w:rsid w:val="32292FBB"/>
    <w:rsid w:val="325E3A96"/>
    <w:rsid w:val="328238D1"/>
    <w:rsid w:val="33D53ED4"/>
    <w:rsid w:val="342629F4"/>
    <w:rsid w:val="347B0F20"/>
    <w:rsid w:val="34A668E3"/>
    <w:rsid w:val="34AF0316"/>
    <w:rsid w:val="34FB796B"/>
    <w:rsid w:val="354461A4"/>
    <w:rsid w:val="3553286E"/>
    <w:rsid w:val="35690D78"/>
    <w:rsid w:val="35BE2E72"/>
    <w:rsid w:val="36285DEC"/>
    <w:rsid w:val="36D3294D"/>
    <w:rsid w:val="36DF6771"/>
    <w:rsid w:val="372A381E"/>
    <w:rsid w:val="37BB4154"/>
    <w:rsid w:val="3817179C"/>
    <w:rsid w:val="392C27E9"/>
    <w:rsid w:val="39526984"/>
    <w:rsid w:val="39643D30"/>
    <w:rsid w:val="39A828A4"/>
    <w:rsid w:val="39CE564E"/>
    <w:rsid w:val="39E869B6"/>
    <w:rsid w:val="3A5E1F81"/>
    <w:rsid w:val="3A612966"/>
    <w:rsid w:val="3A645E9B"/>
    <w:rsid w:val="3A9B7C26"/>
    <w:rsid w:val="3C241E9D"/>
    <w:rsid w:val="3C8D359E"/>
    <w:rsid w:val="3CA01F49"/>
    <w:rsid w:val="3CC4395D"/>
    <w:rsid w:val="3CFEA92D"/>
    <w:rsid w:val="3D3F7D09"/>
    <w:rsid w:val="3D6F5E2E"/>
    <w:rsid w:val="3DD52E23"/>
    <w:rsid w:val="3DDFDC14"/>
    <w:rsid w:val="3E3E7ACE"/>
    <w:rsid w:val="3E66068B"/>
    <w:rsid w:val="3E6F003F"/>
    <w:rsid w:val="3EBF0E17"/>
    <w:rsid w:val="3F1906F6"/>
    <w:rsid w:val="3FDC1CF4"/>
    <w:rsid w:val="3FF688EC"/>
    <w:rsid w:val="40DE57A1"/>
    <w:rsid w:val="411453E9"/>
    <w:rsid w:val="4176780A"/>
    <w:rsid w:val="41B370D6"/>
    <w:rsid w:val="41F374B8"/>
    <w:rsid w:val="426E01AE"/>
    <w:rsid w:val="42766103"/>
    <w:rsid w:val="42BA1BFD"/>
    <w:rsid w:val="42D03B6A"/>
    <w:rsid w:val="42D6395C"/>
    <w:rsid w:val="42EE583B"/>
    <w:rsid w:val="42F531E7"/>
    <w:rsid w:val="430E09E9"/>
    <w:rsid w:val="43597222"/>
    <w:rsid w:val="43D47D05"/>
    <w:rsid w:val="442A5B77"/>
    <w:rsid w:val="451C5E07"/>
    <w:rsid w:val="45631A12"/>
    <w:rsid w:val="46C04E4C"/>
    <w:rsid w:val="47044DA5"/>
    <w:rsid w:val="475D1C91"/>
    <w:rsid w:val="477512B6"/>
    <w:rsid w:val="487D5293"/>
    <w:rsid w:val="49453F9F"/>
    <w:rsid w:val="496C034D"/>
    <w:rsid w:val="49770275"/>
    <w:rsid w:val="4A333FBC"/>
    <w:rsid w:val="4A3D058D"/>
    <w:rsid w:val="4A7B35D0"/>
    <w:rsid w:val="4AA443B6"/>
    <w:rsid w:val="4B272E10"/>
    <w:rsid w:val="4B3734F6"/>
    <w:rsid w:val="4B7534C1"/>
    <w:rsid w:val="4B792C0A"/>
    <w:rsid w:val="4BF06CC0"/>
    <w:rsid w:val="4BFE0AE0"/>
    <w:rsid w:val="4C575977"/>
    <w:rsid w:val="4D213D65"/>
    <w:rsid w:val="4D3D469F"/>
    <w:rsid w:val="4D4F2310"/>
    <w:rsid w:val="4DB839A0"/>
    <w:rsid w:val="4DD70B1D"/>
    <w:rsid w:val="4DE95F65"/>
    <w:rsid w:val="4DF71710"/>
    <w:rsid w:val="4ED367D8"/>
    <w:rsid w:val="4EF03C54"/>
    <w:rsid w:val="4F477F24"/>
    <w:rsid w:val="4F546432"/>
    <w:rsid w:val="4F5E4E38"/>
    <w:rsid w:val="4F76362A"/>
    <w:rsid w:val="4F903383"/>
    <w:rsid w:val="4FF18F16"/>
    <w:rsid w:val="50FA1A59"/>
    <w:rsid w:val="513E2C61"/>
    <w:rsid w:val="51731135"/>
    <w:rsid w:val="518B05DA"/>
    <w:rsid w:val="51DA3C7F"/>
    <w:rsid w:val="51E101BC"/>
    <w:rsid w:val="521F06D6"/>
    <w:rsid w:val="523429E2"/>
    <w:rsid w:val="53146068"/>
    <w:rsid w:val="532064EF"/>
    <w:rsid w:val="540A16C2"/>
    <w:rsid w:val="54680721"/>
    <w:rsid w:val="54736C70"/>
    <w:rsid w:val="54C07912"/>
    <w:rsid w:val="54C83B79"/>
    <w:rsid w:val="550A31C4"/>
    <w:rsid w:val="56066443"/>
    <w:rsid w:val="569D6A0B"/>
    <w:rsid w:val="573F63DF"/>
    <w:rsid w:val="576F626A"/>
    <w:rsid w:val="578E4942"/>
    <w:rsid w:val="57BA70A6"/>
    <w:rsid w:val="57F90A49"/>
    <w:rsid w:val="584119B5"/>
    <w:rsid w:val="58B2640F"/>
    <w:rsid w:val="58B31770"/>
    <w:rsid w:val="58F64373"/>
    <w:rsid w:val="59E43BAC"/>
    <w:rsid w:val="59F39072"/>
    <w:rsid w:val="5A1F04B4"/>
    <w:rsid w:val="5AAA4BF5"/>
    <w:rsid w:val="5ADF6BED"/>
    <w:rsid w:val="5AE81087"/>
    <w:rsid w:val="5B037E12"/>
    <w:rsid w:val="5B1A77BF"/>
    <w:rsid w:val="5B4951DA"/>
    <w:rsid w:val="5B5474B3"/>
    <w:rsid w:val="5B5E462C"/>
    <w:rsid w:val="5B773940"/>
    <w:rsid w:val="5B943442"/>
    <w:rsid w:val="5B9C1EAC"/>
    <w:rsid w:val="5BFF3B28"/>
    <w:rsid w:val="5C032552"/>
    <w:rsid w:val="5C0E6426"/>
    <w:rsid w:val="5C5C1839"/>
    <w:rsid w:val="5C9A30FD"/>
    <w:rsid w:val="5C9E64F4"/>
    <w:rsid w:val="5DDC0BFC"/>
    <w:rsid w:val="5DFEB5C9"/>
    <w:rsid w:val="5E0205FC"/>
    <w:rsid w:val="5E2A018B"/>
    <w:rsid w:val="5E484209"/>
    <w:rsid w:val="5ECB1B92"/>
    <w:rsid w:val="5EF908A6"/>
    <w:rsid w:val="5F1D4047"/>
    <w:rsid w:val="5F1D64A1"/>
    <w:rsid w:val="5F1E4D57"/>
    <w:rsid w:val="5F427DC1"/>
    <w:rsid w:val="5F79D05A"/>
    <w:rsid w:val="5F7B0193"/>
    <w:rsid w:val="5F7D78A8"/>
    <w:rsid w:val="5F8E0FBC"/>
    <w:rsid w:val="5FB61B6D"/>
    <w:rsid w:val="5FFEF306"/>
    <w:rsid w:val="609603C4"/>
    <w:rsid w:val="611C7D58"/>
    <w:rsid w:val="613A401C"/>
    <w:rsid w:val="61472319"/>
    <w:rsid w:val="617900CC"/>
    <w:rsid w:val="61817041"/>
    <w:rsid w:val="619E5234"/>
    <w:rsid w:val="61D511F3"/>
    <w:rsid w:val="61D76EE6"/>
    <w:rsid w:val="626544F2"/>
    <w:rsid w:val="626A32D6"/>
    <w:rsid w:val="627028E9"/>
    <w:rsid w:val="62C375FC"/>
    <w:rsid w:val="632404EC"/>
    <w:rsid w:val="636447A9"/>
    <w:rsid w:val="6427523D"/>
    <w:rsid w:val="64395C36"/>
    <w:rsid w:val="64414AEB"/>
    <w:rsid w:val="64472503"/>
    <w:rsid w:val="645A795A"/>
    <w:rsid w:val="647A4BD6"/>
    <w:rsid w:val="64AA74BA"/>
    <w:rsid w:val="64D27C9B"/>
    <w:rsid w:val="654C50E8"/>
    <w:rsid w:val="655F486F"/>
    <w:rsid w:val="656F1E61"/>
    <w:rsid w:val="6587477F"/>
    <w:rsid w:val="6614578E"/>
    <w:rsid w:val="661F254C"/>
    <w:rsid w:val="677C37D9"/>
    <w:rsid w:val="678673E4"/>
    <w:rsid w:val="67B558F4"/>
    <w:rsid w:val="67DE461B"/>
    <w:rsid w:val="67F5111B"/>
    <w:rsid w:val="67F65BEC"/>
    <w:rsid w:val="68504829"/>
    <w:rsid w:val="69876686"/>
    <w:rsid w:val="69CDD1D4"/>
    <w:rsid w:val="69F7030A"/>
    <w:rsid w:val="6A7F42A2"/>
    <w:rsid w:val="6AA77EF3"/>
    <w:rsid w:val="6AB35173"/>
    <w:rsid w:val="6AE50CDF"/>
    <w:rsid w:val="6AEF34F2"/>
    <w:rsid w:val="6B001792"/>
    <w:rsid w:val="6B3B467C"/>
    <w:rsid w:val="6B642A5C"/>
    <w:rsid w:val="6B7936B6"/>
    <w:rsid w:val="6BA20565"/>
    <w:rsid w:val="6BB47F24"/>
    <w:rsid w:val="6BE64EB6"/>
    <w:rsid w:val="6C12288D"/>
    <w:rsid w:val="6C157383"/>
    <w:rsid w:val="6C160B26"/>
    <w:rsid w:val="6C244736"/>
    <w:rsid w:val="6C290DE9"/>
    <w:rsid w:val="6C3B696B"/>
    <w:rsid w:val="6C603E6E"/>
    <w:rsid w:val="6CFE20B7"/>
    <w:rsid w:val="6D286921"/>
    <w:rsid w:val="6D2D0302"/>
    <w:rsid w:val="6D5913A0"/>
    <w:rsid w:val="6DA56013"/>
    <w:rsid w:val="6DA560EA"/>
    <w:rsid w:val="6DEFF2DC"/>
    <w:rsid w:val="6DFB2755"/>
    <w:rsid w:val="6E1F7C4B"/>
    <w:rsid w:val="6E9217E9"/>
    <w:rsid w:val="6EC23890"/>
    <w:rsid w:val="6EC53B7F"/>
    <w:rsid w:val="6ED40303"/>
    <w:rsid w:val="6F6F3117"/>
    <w:rsid w:val="6F7F1D84"/>
    <w:rsid w:val="6F946322"/>
    <w:rsid w:val="6FA165E6"/>
    <w:rsid w:val="6FAA5C3A"/>
    <w:rsid w:val="6FBAE265"/>
    <w:rsid w:val="6FBE3493"/>
    <w:rsid w:val="6FDF7D88"/>
    <w:rsid w:val="6FEBDCC3"/>
    <w:rsid w:val="6FEFE8AC"/>
    <w:rsid w:val="70101E81"/>
    <w:rsid w:val="70161521"/>
    <w:rsid w:val="706A474A"/>
    <w:rsid w:val="710849FB"/>
    <w:rsid w:val="713E2ADE"/>
    <w:rsid w:val="7151780E"/>
    <w:rsid w:val="716B01B5"/>
    <w:rsid w:val="718030F6"/>
    <w:rsid w:val="71E638D9"/>
    <w:rsid w:val="71F72C8D"/>
    <w:rsid w:val="720553A9"/>
    <w:rsid w:val="72084E9A"/>
    <w:rsid w:val="72315A32"/>
    <w:rsid w:val="72565764"/>
    <w:rsid w:val="72A20772"/>
    <w:rsid w:val="72B60C79"/>
    <w:rsid w:val="72B91E27"/>
    <w:rsid w:val="72FF7397"/>
    <w:rsid w:val="73610200"/>
    <w:rsid w:val="73722096"/>
    <w:rsid w:val="73BBCE47"/>
    <w:rsid w:val="73C0563A"/>
    <w:rsid w:val="73DB4824"/>
    <w:rsid w:val="73E119DF"/>
    <w:rsid w:val="73F3345E"/>
    <w:rsid w:val="749E1A8D"/>
    <w:rsid w:val="74D30317"/>
    <w:rsid w:val="754B239A"/>
    <w:rsid w:val="75834F63"/>
    <w:rsid w:val="75906E08"/>
    <w:rsid w:val="75A4341E"/>
    <w:rsid w:val="760A2841"/>
    <w:rsid w:val="76441DD3"/>
    <w:rsid w:val="765E7BA8"/>
    <w:rsid w:val="767A02A3"/>
    <w:rsid w:val="772207AC"/>
    <w:rsid w:val="77250E76"/>
    <w:rsid w:val="774D258C"/>
    <w:rsid w:val="775D3592"/>
    <w:rsid w:val="77BF0643"/>
    <w:rsid w:val="77DD6407"/>
    <w:rsid w:val="77F7FAE8"/>
    <w:rsid w:val="77FB3264"/>
    <w:rsid w:val="7856064E"/>
    <w:rsid w:val="787C3EEC"/>
    <w:rsid w:val="78801D75"/>
    <w:rsid w:val="792C5912"/>
    <w:rsid w:val="794669D3"/>
    <w:rsid w:val="79494784"/>
    <w:rsid w:val="795A6955"/>
    <w:rsid w:val="799E2B39"/>
    <w:rsid w:val="79E24222"/>
    <w:rsid w:val="7A4665A8"/>
    <w:rsid w:val="7A525CFD"/>
    <w:rsid w:val="7A6205FA"/>
    <w:rsid w:val="7A696678"/>
    <w:rsid w:val="7B097E6B"/>
    <w:rsid w:val="7B3D3F05"/>
    <w:rsid w:val="7BD01932"/>
    <w:rsid w:val="7BD703A4"/>
    <w:rsid w:val="7BE72F8C"/>
    <w:rsid w:val="7BFA240A"/>
    <w:rsid w:val="7C8D1A0C"/>
    <w:rsid w:val="7CCD68F0"/>
    <w:rsid w:val="7CD472FC"/>
    <w:rsid w:val="7CE77E78"/>
    <w:rsid w:val="7CFF672A"/>
    <w:rsid w:val="7D117314"/>
    <w:rsid w:val="7D29652A"/>
    <w:rsid w:val="7D8A0E59"/>
    <w:rsid w:val="7DB75E56"/>
    <w:rsid w:val="7DDE23B7"/>
    <w:rsid w:val="7DFBC3F2"/>
    <w:rsid w:val="7E404BAE"/>
    <w:rsid w:val="7E75008F"/>
    <w:rsid w:val="7E775881"/>
    <w:rsid w:val="7E7FD886"/>
    <w:rsid w:val="7E9250EA"/>
    <w:rsid w:val="7E9B7FF5"/>
    <w:rsid w:val="7EB75B11"/>
    <w:rsid w:val="7ED32789"/>
    <w:rsid w:val="7EFF496E"/>
    <w:rsid w:val="7F6AE3E0"/>
    <w:rsid w:val="7F7959C7"/>
    <w:rsid w:val="7F7B1F18"/>
    <w:rsid w:val="7FBD080F"/>
    <w:rsid w:val="7FBF65A5"/>
    <w:rsid w:val="7FDDE68B"/>
    <w:rsid w:val="7FE99CA9"/>
    <w:rsid w:val="7FEB73CE"/>
    <w:rsid w:val="7FEF93B6"/>
    <w:rsid w:val="7FF151BF"/>
    <w:rsid w:val="7FF5A1B4"/>
    <w:rsid w:val="7FF7D1B3"/>
    <w:rsid w:val="8E565C98"/>
    <w:rsid w:val="93ED2DE9"/>
    <w:rsid w:val="9BFBCBD2"/>
    <w:rsid w:val="B9EF3071"/>
    <w:rsid w:val="BBFB64A1"/>
    <w:rsid w:val="BD7F4D6F"/>
    <w:rsid w:val="BDF2DE5C"/>
    <w:rsid w:val="BDFFF8B0"/>
    <w:rsid w:val="BE9FC7A0"/>
    <w:rsid w:val="BF9F3A33"/>
    <w:rsid w:val="BFEFE06A"/>
    <w:rsid w:val="CF7D7004"/>
    <w:rsid w:val="CFF5E706"/>
    <w:rsid w:val="D5DEB7D5"/>
    <w:rsid w:val="D6FB68C7"/>
    <w:rsid w:val="D777AE59"/>
    <w:rsid w:val="D7BBAFB3"/>
    <w:rsid w:val="D9E54BE5"/>
    <w:rsid w:val="DA767C41"/>
    <w:rsid w:val="DA7DA9D0"/>
    <w:rsid w:val="DBFEB06E"/>
    <w:rsid w:val="DD5F9B56"/>
    <w:rsid w:val="DDD5586A"/>
    <w:rsid w:val="DDFF44B9"/>
    <w:rsid w:val="DE9F8EDD"/>
    <w:rsid w:val="DFF5941A"/>
    <w:rsid w:val="DFFFE673"/>
    <w:rsid w:val="E79F9077"/>
    <w:rsid w:val="EDE3E993"/>
    <w:rsid w:val="EED88DF3"/>
    <w:rsid w:val="EEE5EB50"/>
    <w:rsid w:val="EF3F9E06"/>
    <w:rsid w:val="EF7F25FE"/>
    <w:rsid w:val="EFEFDCA1"/>
    <w:rsid w:val="F2B83464"/>
    <w:rsid w:val="F365829B"/>
    <w:rsid w:val="F5E9630D"/>
    <w:rsid w:val="F5FEDB81"/>
    <w:rsid w:val="F71FA5A8"/>
    <w:rsid w:val="F7D7BA14"/>
    <w:rsid w:val="F7FB45D6"/>
    <w:rsid w:val="FCD7B9E0"/>
    <w:rsid w:val="FD9F2BE4"/>
    <w:rsid w:val="FDFFF42C"/>
    <w:rsid w:val="FE7D1968"/>
    <w:rsid w:val="FE8D89A1"/>
    <w:rsid w:val="FEE704B6"/>
    <w:rsid w:val="FEE72209"/>
    <w:rsid w:val="FF7B885D"/>
    <w:rsid w:val="FFEDB26B"/>
    <w:rsid w:val="FFEE23AC"/>
    <w:rsid w:val="FFFB11F6"/>
    <w:rsid w:val="FFFDB7E9"/>
    <w:rsid w:val="FFFE7044"/>
    <w:rsid w:val="FFFF82FC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52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4">
    <w:name w:val="heading 2"/>
    <w:basedOn w:val="3"/>
    <w:next w:val="1"/>
    <w:unhideWhenUsed/>
    <w:qFormat/>
    <w:uiPriority w:val="0"/>
    <w:pPr>
      <w:ind w:firstLine="883" w:firstLineChars="200"/>
      <w:jc w:val="left"/>
      <w:outlineLvl w:val="1"/>
    </w:pPr>
    <w:rPr>
      <w:rFonts w:eastAsia="黑体"/>
      <w:b w:val="0"/>
      <w:bCs w:val="0"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12" w:lineRule="atLeast"/>
      <w:ind w:firstLine="420"/>
    </w:pPr>
    <w:rPr>
      <w:rFonts w:ascii="Times New Roman" w:hAnsi="Times New Roman" w:eastAsia="宋体"/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1"/>
    <w:pPr>
      <w:ind w:left="113" w:firstLine="640"/>
    </w:pPr>
    <w:rPr>
      <w:rFonts w:ascii="仿宋_GB2312" w:hAnsi="仿宋_GB2312"/>
    </w:rPr>
  </w:style>
  <w:style w:type="paragraph" w:styleId="7">
    <w:name w:val="Body Text Indent"/>
    <w:basedOn w:val="1"/>
    <w:next w:val="2"/>
    <w:qFormat/>
    <w:uiPriority w:val="0"/>
    <w:pPr>
      <w:spacing w:after="120"/>
      <w:ind w:left="4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7"/>
    <w:next w:val="1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正文首行缩进 21"/>
    <w:basedOn w:val="1"/>
    <w:qFormat/>
    <w:uiPriority w:val="0"/>
    <w:pPr>
      <w:keepNext/>
      <w:adjustRightInd w:val="0"/>
      <w:snapToGrid w:val="0"/>
      <w:spacing w:after="120" w:line="560" w:lineRule="atLeast"/>
      <w:ind w:left="420" w:leftChars="200" w:firstLine="420" w:firstLineChars="200"/>
    </w:pPr>
    <w:rPr>
      <w:rFonts w:eastAsia="微软雅黑"/>
      <w:sz w:val="30"/>
      <w:szCs w:val="30"/>
    </w:rPr>
  </w:style>
  <w:style w:type="paragraph" w:customStyle="1" w:styleId="16">
    <w:name w:val="Table of Authorities1"/>
    <w:next w:val="1"/>
    <w:qFormat/>
    <w:uiPriority w:val="99"/>
    <w:pPr>
      <w:widowControl w:val="0"/>
      <w:spacing w:beforeAutospacing="1" w:afterAutospacing="1" w:line="552" w:lineRule="exact"/>
      <w:ind w:left="420" w:leftChars="200" w:firstLine="420" w:firstLineChars="200"/>
      <w:jc w:val="both"/>
    </w:pPr>
    <w:rPr>
      <w:rFonts w:ascii="Times New Roman" w:hAnsi="Times New Roman" w:eastAsia="仿宋_GB2312" w:cs="黑体"/>
      <w:kern w:val="2"/>
      <w:sz w:val="32"/>
      <w:szCs w:val="21"/>
      <w:lang w:val="en-US" w:eastAsia="zh-CN" w:bidi="ar-SA"/>
    </w:rPr>
  </w:style>
  <w:style w:type="paragraph" w:customStyle="1" w:styleId="17">
    <w:name w:val="正文-公1"/>
    <w:qFormat/>
    <w:uiPriority w:val="99"/>
    <w:pPr>
      <w:widowControl w:val="0"/>
      <w:spacing w:line="552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customStyle="1" w:styleId="18">
    <w:name w:val="Normal Indent1"/>
    <w:qFormat/>
    <w:uiPriority w:val="0"/>
    <w:pPr>
      <w:widowControl w:val="0"/>
      <w:spacing w:line="480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9">
    <w:name w:val="正文-常务会议"/>
    <w:basedOn w:val="1"/>
    <w:qFormat/>
    <w:uiPriority w:val="0"/>
    <w:pPr>
      <w:spacing w:line="560" w:lineRule="exact"/>
      <w:ind w:firstLine="200" w:firstLineChars="200"/>
    </w:pPr>
    <w:rPr>
      <w:rFonts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5793</Words>
  <Characters>5841</Characters>
  <Lines>57</Lines>
  <Paragraphs>16</Paragraphs>
  <TotalTime>0</TotalTime>
  <ScaleCrop>false</ScaleCrop>
  <LinksUpToDate>false</LinksUpToDate>
  <CharactersWithSpaces>5943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2023-10-17T09:05:00Z</dcterms:created>
  <dc:creator>Administrator</dc:creator>
  <cp:lastModifiedBy>市政府办公室</cp:lastModifiedBy>
  <cp:lastPrinted>2024-12-20T16:36:00Z</cp:lastPrinted>
  <dcterms:modified xsi:type="dcterms:W3CDTF">2025-01-17T08:51:51Z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  <property fmtid="{D5CDD505-2E9C-101B-9397-08002B2CF9AE}" pid="3" name="ICV">
    <vt:lpwstr>A3868F906A2383965CDB6367BF5E7363</vt:lpwstr>
  </property>
  <property fmtid="{D5CDD505-2E9C-101B-9397-08002B2CF9AE}" pid="4" name="KSOTemplateDocerSaveRecord">
    <vt:lpwstr>eyJoZGlkIjoiODE2ODc0YzEzNzQ2YTI4NDAxNGQ3YjNmZjNiODcyYzgifQ==</vt:lpwstr>
  </property>
</Properties>
</file>